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B16C27">
        <w:rPr>
          <w:rFonts w:ascii="Arial" w:hAnsi="Arial" w:cs="Arial"/>
          <w:b/>
          <w:bCs/>
          <w:sz w:val="24"/>
          <w:szCs w:val="24"/>
        </w:rPr>
        <w:t>65</w:t>
      </w:r>
      <w:r w:rsidR="003007F7" w:rsidRPr="00C33343">
        <w:rPr>
          <w:rFonts w:ascii="Arial" w:hAnsi="Arial" w:cs="Arial"/>
          <w:b/>
          <w:bCs/>
          <w:sz w:val="28"/>
          <w:szCs w:val="24"/>
        </w:rPr>
        <w:tab/>
      </w:r>
      <w:r w:rsidR="003007F7" w:rsidRPr="004B1D9E">
        <w:rPr>
          <w:rFonts w:ascii="Arial" w:hAnsi="Arial" w:cs="Arial"/>
          <w:b/>
          <w:bCs/>
          <w:sz w:val="28"/>
          <w:szCs w:val="24"/>
        </w:rPr>
        <w:t>S2-2</w:t>
      </w:r>
      <w:r w:rsidR="00C07AD8">
        <w:rPr>
          <w:rFonts w:ascii="Arial" w:hAnsi="Arial" w:cs="Arial"/>
          <w:b/>
          <w:bCs/>
          <w:sz w:val="28"/>
          <w:szCs w:val="24"/>
        </w:rPr>
        <w:t>410489</w:t>
      </w:r>
      <w:bookmarkStart w:id="0" w:name="_GoBack"/>
      <w:bookmarkEnd w:id="0"/>
    </w:p>
    <w:p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w:t>
      </w:r>
      <w:r w:rsidR="00B16C27">
        <w:rPr>
          <w:rFonts w:ascii="Arial" w:hAnsi="Arial" w:cs="Arial"/>
          <w:b/>
          <w:bCs/>
          <w:sz w:val="24"/>
          <w:szCs w:val="24"/>
        </w:rPr>
        <w:t>4</w:t>
      </w:r>
      <w:r>
        <w:rPr>
          <w:rFonts w:ascii="Arial" w:hAnsi="Arial" w:cs="Arial"/>
          <w:b/>
          <w:bCs/>
          <w:sz w:val="24"/>
          <w:szCs w:val="24"/>
        </w:rPr>
        <w:t xml:space="preserve"> - </w:t>
      </w:r>
      <w:r w:rsidR="00B16C27">
        <w:rPr>
          <w:rFonts w:ascii="Arial" w:hAnsi="Arial" w:cs="Arial"/>
          <w:b/>
          <w:bCs/>
          <w:sz w:val="24"/>
          <w:szCs w:val="24"/>
        </w:rPr>
        <w:t>18</w:t>
      </w:r>
      <w:r w:rsidR="000C4A00">
        <w:rPr>
          <w:rFonts w:ascii="Arial" w:hAnsi="Arial" w:cs="Arial"/>
          <w:b/>
          <w:bCs/>
          <w:sz w:val="24"/>
          <w:szCs w:val="24"/>
        </w:rPr>
        <w:t xml:space="preserve"> </w:t>
      </w:r>
      <w:r w:rsidR="00B16C27">
        <w:rPr>
          <w:rFonts w:ascii="Arial" w:hAnsi="Arial" w:cs="Arial"/>
          <w:b/>
          <w:bCs/>
          <w:sz w:val="24"/>
          <w:szCs w:val="24"/>
        </w:rPr>
        <w:t>October</w:t>
      </w:r>
      <w:r w:rsidR="00C9766E">
        <w:rPr>
          <w:rFonts w:ascii="Arial" w:hAnsi="Arial" w:cs="Arial"/>
          <w:b/>
          <w:bCs/>
          <w:sz w:val="24"/>
          <w:szCs w:val="24"/>
        </w:rPr>
        <w:t>, 202</w:t>
      </w:r>
      <w:r w:rsidR="00B16C27">
        <w:rPr>
          <w:rFonts w:ascii="Arial" w:hAnsi="Arial" w:cs="Arial"/>
          <w:b/>
          <w:bCs/>
          <w:sz w:val="24"/>
          <w:szCs w:val="24"/>
        </w:rPr>
        <w:t>4</w:t>
      </w:r>
      <w:r w:rsidR="00C9766E">
        <w:rPr>
          <w:rFonts w:ascii="Arial" w:hAnsi="Arial" w:cs="Arial"/>
          <w:b/>
          <w:bCs/>
          <w:sz w:val="24"/>
          <w:szCs w:val="24"/>
        </w:rPr>
        <w:t xml:space="preserve">, </w:t>
      </w:r>
      <w:r w:rsidR="00B16C27">
        <w:rPr>
          <w:rFonts w:ascii="Arial" w:hAnsi="Arial" w:cs="Arial"/>
          <w:b/>
          <w:bCs/>
          <w:sz w:val="24"/>
          <w:szCs w:val="24"/>
        </w:rPr>
        <w:t>Hyderabad</w:t>
      </w:r>
      <w:r>
        <w:rPr>
          <w:rFonts w:ascii="Arial" w:hAnsi="Arial" w:cs="Arial"/>
          <w:b/>
          <w:bCs/>
          <w:sz w:val="24"/>
          <w:szCs w:val="24"/>
        </w:rPr>
        <w:t xml:space="preserve">, </w:t>
      </w:r>
      <w:r w:rsidR="00B16C27">
        <w:rPr>
          <w:rFonts w:ascii="Arial" w:hAnsi="Arial" w:cs="Arial"/>
          <w:b/>
          <w:bCs/>
          <w:sz w:val="24"/>
          <w:szCs w:val="24"/>
        </w:rPr>
        <w:t>India</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Pr="00CE6609">
        <w:rPr>
          <w:color w:val="FF0000"/>
        </w:rPr>
        <w:t>[DRAFT]</w:t>
      </w:r>
      <w:r w:rsidR="004B1D9E" w:rsidRPr="00CE6609">
        <w:rPr>
          <w:color w:val="000000"/>
        </w:rPr>
        <w:t xml:space="preserve"> </w:t>
      </w:r>
      <w:r w:rsidR="0033735E" w:rsidRPr="00CE6609">
        <w:rPr>
          <w:color w:val="000000"/>
        </w:rPr>
        <w:t xml:space="preserve">Reply </w:t>
      </w:r>
      <w:r w:rsidR="00EC6321" w:rsidRPr="00CE6609">
        <w:t xml:space="preserve">LS </w:t>
      </w:r>
      <w:r w:rsidR="00F52807" w:rsidRPr="00CE6609">
        <w:t xml:space="preserve">on </w:t>
      </w:r>
      <w:r w:rsidR="00B16C27" w:rsidRPr="00CE6609">
        <w:t>Configuration of Slice Usage Control Information</w:t>
      </w:r>
    </w:p>
    <w:p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B16C27" w:rsidRPr="00CE6609">
        <w:t>Configuration of Slice Usage Control Information</w:t>
      </w:r>
      <w:r w:rsidR="00F52807" w:rsidRPr="00CE6609">
        <w:rPr>
          <w:color w:val="000000"/>
        </w:rPr>
        <w:t xml:space="preserve"> </w:t>
      </w:r>
      <w:r w:rsidR="0033735E" w:rsidRPr="00CE6609">
        <w:rPr>
          <w:color w:val="000000"/>
        </w:rPr>
        <w:t>(S2-</w:t>
      </w:r>
      <w:r w:rsidR="00116B8D" w:rsidRPr="00CE6609">
        <w:rPr>
          <w:color w:val="000000"/>
        </w:rPr>
        <w:t>2409589</w:t>
      </w:r>
      <w:r w:rsidR="0033735E" w:rsidRPr="00CE6609">
        <w:rPr>
          <w:color w:val="000000"/>
        </w:rPr>
        <w:t>/C</w:t>
      </w:r>
      <w:r w:rsidR="003F0F60" w:rsidRPr="00CE6609">
        <w:rPr>
          <w:color w:val="000000"/>
        </w:rPr>
        <w:t>4</w:t>
      </w:r>
      <w:r w:rsidR="0033735E" w:rsidRPr="00CE6609">
        <w:rPr>
          <w:color w:val="000000"/>
        </w:rPr>
        <w:t>-</w:t>
      </w:r>
      <w:r w:rsidR="000C4A00" w:rsidRPr="00CE6609">
        <w:rPr>
          <w:color w:val="000000"/>
        </w:rPr>
        <w:t>2</w:t>
      </w:r>
      <w:r w:rsidR="00116B8D" w:rsidRPr="00CE6609">
        <w:rPr>
          <w:color w:val="000000"/>
        </w:rPr>
        <w:t>43492</w:t>
      </w:r>
      <w:r w:rsidR="0033735E" w:rsidRPr="00CE6609">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rsidR="00463675" w:rsidRPr="000F4E43" w:rsidRDefault="00463675" w:rsidP="000F4E43">
      <w:pPr>
        <w:pStyle w:val="Title"/>
      </w:pPr>
      <w:r w:rsidRPr="009776DC">
        <w:rPr>
          <w:color w:val="000000"/>
        </w:rPr>
        <w:t>Work Item:</w:t>
      </w:r>
      <w:r w:rsidRPr="009776DC">
        <w:rPr>
          <w:color w:val="000000"/>
        </w:rPr>
        <w:tab/>
      </w:r>
      <w:r w:rsidR="00F52807">
        <w:t>eNS_Ph3</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3F0F60">
        <w:rPr>
          <w:lang w:eastAsia="zh-CN"/>
        </w:rPr>
        <w:t>CT4</w:t>
      </w:r>
    </w:p>
    <w:p w:rsidR="00463675" w:rsidRPr="00FB0D38" w:rsidRDefault="00463675" w:rsidP="001A6D42">
      <w:pPr>
        <w:pStyle w:val="Source"/>
        <w:rPr>
          <w:bCs/>
          <w:lang w:val="fr-FR"/>
        </w:rPr>
      </w:pPr>
      <w:r w:rsidRPr="00FB0D38">
        <w:rPr>
          <w:lang w:val="fr-FR"/>
        </w:rPr>
        <w:t>Cc:</w:t>
      </w:r>
      <w:r w:rsidRPr="00FB0D38">
        <w:rPr>
          <w:lang w:val="fr-FR"/>
        </w:rPr>
        <w:tab/>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Default="003F0F60" w:rsidP="0033735E">
      <w:pPr>
        <w:pStyle w:val="Header"/>
        <w:tabs>
          <w:tab w:val="clear" w:pos="4153"/>
          <w:tab w:val="clear" w:pos="8306"/>
        </w:tabs>
        <w:rPr>
          <w:rFonts w:ascii="Arial" w:eastAsia="Malgun Gothic" w:hAnsi="Arial" w:cs="Arial"/>
          <w:lang w:eastAsia="ko-KR"/>
        </w:rPr>
      </w:pPr>
      <w:r w:rsidRPr="00F52807">
        <w:rPr>
          <w:rFonts w:ascii="Arial" w:eastAsia="Malgun Gothic" w:hAnsi="Arial" w:cs="Arial"/>
          <w:lang w:eastAsia="ko-KR"/>
        </w:rPr>
        <w:t>SA2 would like to thank CT4</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B16C27">
        <w:rPr>
          <w:rFonts w:ascii="Arial" w:hAnsi="Arial" w:cs="Arial"/>
        </w:rPr>
        <w:t>Configuration of Slice Usage Control Information</w:t>
      </w:r>
      <w:r w:rsidR="0033735E" w:rsidRPr="00F52807">
        <w:rPr>
          <w:rFonts w:ascii="Arial" w:eastAsia="Malgun Gothic" w:hAnsi="Arial" w:cs="Arial"/>
          <w:lang w:eastAsia="ko-KR"/>
        </w:rPr>
        <w:t>. S</w:t>
      </w:r>
      <w:r w:rsidR="00CB1D18" w:rsidRPr="00F52807">
        <w:rPr>
          <w:rFonts w:ascii="Arial" w:eastAsia="Malgun Gothic" w:hAnsi="Arial" w:cs="Arial"/>
          <w:lang w:eastAsia="ko-KR"/>
        </w:rPr>
        <w:t xml:space="preserve">A2 provides </w:t>
      </w:r>
      <w:r w:rsidRPr="00F52807">
        <w:rPr>
          <w:rFonts w:ascii="Arial" w:eastAsia="Malgun Gothic" w:hAnsi="Arial" w:cs="Arial"/>
          <w:lang w:eastAsia="ko-KR"/>
        </w:rPr>
        <w:t>following answers to CT4</w:t>
      </w:r>
      <w:r w:rsidR="00CB1D18" w:rsidRPr="00F52807">
        <w:rPr>
          <w:rFonts w:ascii="Arial" w:eastAsia="Malgun Gothic" w:hAnsi="Arial" w:cs="Arial"/>
          <w:lang w:eastAsia="ko-KR"/>
        </w:rPr>
        <w:t xml:space="preserve"> questions</w:t>
      </w:r>
      <w:r w:rsidR="0033735E" w:rsidRPr="00F52807">
        <w:rPr>
          <w:rFonts w:ascii="Arial" w:eastAsia="Malgun Gothic" w:hAnsi="Arial" w:cs="Arial"/>
          <w:lang w:eastAsia="ko-KR"/>
        </w:rPr>
        <w:t>.</w:t>
      </w:r>
    </w:p>
    <w:p w:rsidR="00B16C27" w:rsidRDefault="00B16C27" w:rsidP="0033735E">
      <w:pPr>
        <w:pStyle w:val="Header"/>
        <w:tabs>
          <w:tab w:val="clear" w:pos="4153"/>
          <w:tab w:val="clear" w:pos="8306"/>
        </w:tabs>
        <w:rPr>
          <w:rFonts w:ascii="Arial" w:eastAsia="Malgun Gothic" w:hAnsi="Arial" w:cs="Arial"/>
          <w:lang w:eastAsia="ko-KR"/>
        </w:rPr>
      </w:pPr>
    </w:p>
    <w:p w:rsidR="00B16C27" w:rsidRPr="006E21DA" w:rsidRDefault="00B16C27" w:rsidP="00B16C27">
      <w:pPr>
        <w:rPr>
          <w:rFonts w:ascii="Arial" w:hAnsi="Arial" w:cs="Arial"/>
        </w:rPr>
      </w:pPr>
      <w:r>
        <w:rPr>
          <w:rFonts w:ascii="Arial" w:hAnsi="Arial" w:cs="Arial"/>
        </w:rPr>
        <w:t xml:space="preserve">To support network slice usage control, </w:t>
      </w:r>
      <w:r w:rsidRPr="006E21DA">
        <w:rPr>
          <w:rFonts w:ascii="Arial" w:hAnsi="Arial" w:cs="Arial"/>
        </w:rPr>
        <w:t xml:space="preserve">CT4 </w:t>
      </w:r>
      <w:r>
        <w:rPr>
          <w:rFonts w:ascii="Arial" w:hAnsi="Arial" w:cs="Arial"/>
        </w:rPr>
        <w:t>defined the configuration of slice deregistration inactivity timer and PDU Session inactivity timer in UE subscription data in UDM. Such slice related timer is access type independent, see clauses 6.1.6.2.8 and 6.1.6.2.38 of 3GPP TS 29.503.</w:t>
      </w:r>
    </w:p>
    <w:p w:rsidR="00B16C27" w:rsidRPr="006E21DA" w:rsidRDefault="00B16C27" w:rsidP="00B16C27">
      <w:pPr>
        <w:rPr>
          <w:rFonts w:ascii="Arial" w:hAnsi="Arial" w:cs="Arial"/>
        </w:rPr>
      </w:pPr>
    </w:p>
    <w:p w:rsidR="00B16C27" w:rsidRDefault="00B16C27" w:rsidP="00B16C27">
      <w:pPr>
        <w:pStyle w:val="CRCoverPage"/>
        <w:spacing w:after="0"/>
        <w:rPr>
          <w:lang w:eastAsia="zh-CN"/>
        </w:rPr>
      </w:pPr>
      <w:r>
        <w:rPr>
          <w:lang w:eastAsia="zh-CN"/>
        </w:rPr>
        <w:t xml:space="preserve">CT4 also observed that clause 5.15.15.2 and 5.15.15.3 of 3GPP TS 23.501 specifies that the AMF starts the slice deregistration inactivity timer </w:t>
      </w:r>
      <w:r w:rsidRPr="00F10AC5">
        <w:rPr>
          <w:b/>
          <w:lang w:eastAsia="zh-CN"/>
        </w:rPr>
        <w:t xml:space="preserve">per </w:t>
      </w:r>
      <w:r>
        <w:rPr>
          <w:b/>
          <w:lang w:eastAsia="zh-CN"/>
        </w:rPr>
        <w:t>S-NSSAI</w:t>
      </w:r>
      <w:r w:rsidRPr="00F10AC5">
        <w:rPr>
          <w:b/>
          <w:lang w:eastAsia="zh-CN"/>
        </w:rPr>
        <w:t xml:space="preserve"> per access type</w:t>
      </w:r>
      <w:r>
        <w:rPr>
          <w:lang w:eastAsia="zh-CN"/>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rsidR="00B16C27" w:rsidRDefault="00B16C27" w:rsidP="00B16C27">
      <w:pPr>
        <w:pStyle w:val="CRCoverPage"/>
        <w:spacing w:after="0"/>
        <w:rPr>
          <w:lang w:eastAsia="zh-CN"/>
        </w:rPr>
      </w:pPr>
    </w:p>
    <w:p w:rsidR="00B16C27" w:rsidRDefault="00B16C27" w:rsidP="00B16C27">
      <w:pPr>
        <w:pStyle w:val="CRCoverPage"/>
        <w:spacing w:after="0"/>
        <w:rPr>
          <w:rFonts w:cs="Arial"/>
        </w:rPr>
      </w:pPr>
      <w:r>
        <w:rPr>
          <w:lang w:eastAsia="zh-CN"/>
        </w:rPr>
        <w:t>CT4 discussed how slice usage control information configured in the UE subscription is used by the AMF to start per S-NSSAI per access type slice deregistration inactivity timer, and by SMF to start PDU Session inactivity timer</w:t>
      </w:r>
      <w:r>
        <w:rPr>
          <w:rFonts w:cs="Arial"/>
        </w:rPr>
        <w:t xml:space="preserve"> and would like to ask SA2 to answer the following questions:</w:t>
      </w:r>
    </w:p>
    <w:p w:rsidR="00B16C27" w:rsidRDefault="00B16C27" w:rsidP="00B16C27">
      <w:pPr>
        <w:rPr>
          <w:rFonts w:ascii="Arial" w:hAnsi="Arial" w:cs="Arial"/>
        </w:rPr>
      </w:pPr>
    </w:p>
    <w:p w:rsidR="00B16C27" w:rsidRDefault="00B16C27" w:rsidP="00B16C27">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rsidR="00B16C27" w:rsidRDefault="00B16C27" w:rsidP="00B16C27">
      <w:pPr>
        <w:ind w:left="720"/>
        <w:rPr>
          <w:rFonts w:ascii="Arial" w:hAnsi="Arial" w:cs="Arial"/>
        </w:rPr>
      </w:pPr>
    </w:p>
    <w:p w:rsidR="00B16C27" w:rsidRDefault="00B16C27" w:rsidP="00B16C27">
      <w:pPr>
        <w:rPr>
          <w:rFonts w:ascii="Arial" w:hAnsi="Arial" w:cs="Arial"/>
        </w:rPr>
      </w:pPr>
      <w:r w:rsidRPr="00B16C27">
        <w:rPr>
          <w:rFonts w:ascii="Arial" w:hAnsi="Arial" w:cs="Arial"/>
          <w:b/>
        </w:rPr>
        <w:t>Answer:</w:t>
      </w:r>
      <w:r>
        <w:rPr>
          <w:rFonts w:ascii="Arial" w:hAnsi="Arial" w:cs="Arial"/>
        </w:rPr>
        <w:t xml:space="preserve"> PDU Session inactivity timer is access type independent, be it SA-PDU Session or MA-PDU Session.</w:t>
      </w:r>
    </w:p>
    <w:p w:rsidR="00B16C27" w:rsidRDefault="00B16C27" w:rsidP="00B16C27">
      <w:pPr>
        <w:rPr>
          <w:rFonts w:ascii="Arial" w:hAnsi="Arial" w:cs="Arial"/>
        </w:rPr>
      </w:pPr>
    </w:p>
    <w:p w:rsidR="00B16C27" w:rsidRDefault="00B16C27" w:rsidP="00B16C27">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rsidR="00B16C27" w:rsidRDefault="00B16C27" w:rsidP="00B16C27">
      <w:pPr>
        <w:ind w:left="720"/>
        <w:rPr>
          <w:rFonts w:ascii="Arial" w:hAnsi="Arial" w:cs="Arial"/>
        </w:rPr>
      </w:pPr>
    </w:p>
    <w:p w:rsidR="00B16C27" w:rsidRDefault="00B16C27" w:rsidP="00B16C27">
      <w:pPr>
        <w:rPr>
          <w:rFonts w:ascii="Arial" w:hAnsi="Arial" w:cs="Arial"/>
        </w:rPr>
      </w:pPr>
      <w:r w:rsidRPr="00B16C27">
        <w:rPr>
          <w:rFonts w:ascii="Arial" w:hAnsi="Arial" w:cs="Arial"/>
          <w:b/>
        </w:rPr>
        <w:t>Answer:</w:t>
      </w:r>
      <w:r>
        <w:rPr>
          <w:rFonts w:ascii="Arial" w:hAnsi="Arial" w:cs="Arial"/>
        </w:rPr>
        <w:t xml:space="preserve"> No. The timer value is common for both the access type.</w:t>
      </w:r>
    </w:p>
    <w:p w:rsidR="00B16C27" w:rsidRDefault="00B16C27" w:rsidP="00B16C27">
      <w:pPr>
        <w:ind w:left="720"/>
        <w:rPr>
          <w:rFonts w:ascii="Arial" w:hAnsi="Arial" w:cs="Arial"/>
        </w:rPr>
      </w:pPr>
    </w:p>
    <w:p w:rsidR="00B16C27" w:rsidRDefault="00B16C27" w:rsidP="00B16C2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rsidR="00CB7D43" w:rsidRDefault="00CB7D43" w:rsidP="00B16C27">
      <w:pPr>
        <w:ind w:left="720"/>
        <w:rPr>
          <w:rFonts w:ascii="Arial" w:hAnsi="Arial" w:cs="Arial"/>
        </w:rPr>
      </w:pPr>
    </w:p>
    <w:p w:rsidR="00CB7D43" w:rsidRDefault="00B16C27" w:rsidP="00B16C27">
      <w:pPr>
        <w:rPr>
          <w:rFonts w:ascii="Arial" w:hAnsi="Arial" w:cs="Arial"/>
        </w:rPr>
      </w:pPr>
      <w:r w:rsidRPr="00CB7D43">
        <w:rPr>
          <w:rFonts w:ascii="Arial" w:hAnsi="Arial" w:cs="Arial"/>
          <w:b/>
        </w:rPr>
        <w:t>Answer:</w:t>
      </w:r>
      <w:r>
        <w:rPr>
          <w:rFonts w:ascii="Arial" w:hAnsi="Arial" w:cs="Arial"/>
        </w:rPr>
        <w:t xml:space="preserve"> The timer value is same for both the access type. </w:t>
      </w:r>
    </w:p>
    <w:p w:rsidR="00A830B4" w:rsidRDefault="00A830B4" w:rsidP="00B16C27">
      <w:pPr>
        <w:rPr>
          <w:rFonts w:ascii="Arial" w:hAnsi="Arial" w:cs="Arial"/>
        </w:rPr>
      </w:pPr>
    </w:p>
    <w:p w:rsidR="00B16C27" w:rsidRDefault="00B16C27" w:rsidP="00B16C27">
      <w:pPr>
        <w:rPr>
          <w:rFonts w:ascii="Arial" w:hAnsi="Arial" w:cs="Arial"/>
        </w:rPr>
      </w:pPr>
      <w:r>
        <w:rPr>
          <w:rFonts w:ascii="Arial" w:hAnsi="Arial" w:cs="Arial"/>
        </w:rPr>
        <w:t>In case of slice deregistration inactivity timer, AMF</w:t>
      </w:r>
      <w:r w:rsidR="00CB7D43">
        <w:rPr>
          <w:rFonts w:ascii="Arial" w:hAnsi="Arial" w:cs="Arial"/>
        </w:rPr>
        <w:t xml:space="preserve"> applies the value and starts the timer in one access type when that particular S-NSSAI is added to the Allowed NSSAI of that corresponding access type. During that time there is no impact to the other access type which means until unless the UE request same S-NSSAI and AMF adds the S-NSSAI to the Allowed NSSAI of the other access type, the timer will not be started.</w:t>
      </w:r>
      <w:r w:rsidR="00A830B4">
        <w:rPr>
          <w:rFonts w:ascii="Arial" w:hAnsi="Arial" w:cs="Arial"/>
        </w:rPr>
        <w:t xml:space="preserve"> Hence slice deregistration inactivity timer is per access type.</w:t>
      </w:r>
    </w:p>
    <w:p w:rsidR="00A830B4" w:rsidRDefault="00A830B4" w:rsidP="00B16C27">
      <w:pPr>
        <w:rPr>
          <w:rFonts w:ascii="Arial" w:hAnsi="Arial" w:cs="Arial"/>
        </w:rPr>
      </w:pPr>
    </w:p>
    <w:p w:rsidR="0033735E" w:rsidRDefault="00A830B4" w:rsidP="00FB2F21">
      <w:pPr>
        <w:rPr>
          <w:rFonts w:ascii="Arial" w:eastAsia="Malgun Gothic" w:hAnsi="Arial" w:cs="Arial"/>
          <w:lang w:eastAsia="ko-KR"/>
        </w:rPr>
      </w:pPr>
      <w:r>
        <w:rPr>
          <w:rFonts w:ascii="Arial" w:hAnsi="Arial" w:cs="Arial"/>
        </w:rPr>
        <w:t xml:space="preserve">In case of PDU Session inactivity timer, SMF provides the timer value to UPF whenever the first access type of MA-PDU session is established. SMF does not give the timer value again to UPF when the second access type is added to the MA-PDU session. UPF will trigger inactivity only when it detects inactivity for both the access type. Hence the NOTE in SA2 specification clarifies that PDU Session inactivity timer is </w:t>
      </w:r>
      <w:r w:rsidR="001113E3">
        <w:rPr>
          <w:rFonts w:ascii="Arial" w:hAnsi="Arial" w:cs="Arial"/>
        </w:rPr>
        <w:t>access type independent.</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F60">
        <w:rPr>
          <w:rFonts w:ascii="Arial" w:hAnsi="Arial" w:cs="Arial"/>
          <w:b/>
        </w:rPr>
        <w:t>CT4</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2097E">
        <w:rPr>
          <w:rFonts w:ascii="Arial" w:hAnsi="Arial" w:cs="Arial"/>
        </w:rPr>
        <w:t xml:space="preserve"> asks CT4</w:t>
      </w:r>
      <w:r w:rsidR="00505C76">
        <w:rPr>
          <w:rFonts w:ascii="Arial" w:hAnsi="Arial" w:cs="Arial"/>
        </w:rPr>
        <w:t xml:space="preserve"> to take above information into consideration</w:t>
      </w:r>
      <w:r w:rsidR="00505C76" w:rsidRPr="002F7089">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Default="00BF45F4" w:rsidP="00FD5753">
      <w:pPr>
        <w:tabs>
          <w:tab w:val="left" w:pos="3261"/>
          <w:tab w:val="left" w:pos="6804"/>
        </w:tabs>
        <w:spacing w:after="120"/>
        <w:rPr>
          <w:rFonts w:ascii="Arial" w:hAnsi="Arial" w:cs="Arial"/>
          <w:bCs/>
        </w:rPr>
      </w:pPr>
      <w:r>
        <w:rPr>
          <w:rFonts w:ascii="Arial" w:hAnsi="Arial" w:cs="Arial"/>
          <w:bCs/>
        </w:rPr>
        <w:t>TSG-SA2 Meeting#166</w:t>
      </w:r>
      <w:r w:rsidR="00C56B0C">
        <w:rPr>
          <w:rFonts w:ascii="Arial" w:hAnsi="Arial" w:cs="Arial"/>
          <w:bCs/>
        </w:rPr>
        <w:tab/>
        <w:t>October 18 – 22</w:t>
      </w:r>
      <w:r w:rsidR="00FD5753">
        <w:rPr>
          <w:rFonts w:ascii="Arial" w:hAnsi="Arial" w:cs="Arial"/>
          <w:bCs/>
        </w:rPr>
        <w:t>, 202</w:t>
      </w:r>
      <w:r w:rsidR="00C56B0C">
        <w:rPr>
          <w:rFonts w:ascii="Arial" w:hAnsi="Arial" w:cs="Arial"/>
          <w:bCs/>
        </w:rPr>
        <w:t>4</w:t>
      </w:r>
      <w:r w:rsidR="00FD5753">
        <w:rPr>
          <w:rFonts w:ascii="Arial" w:hAnsi="Arial" w:cs="Arial"/>
          <w:bCs/>
        </w:rPr>
        <w:tab/>
      </w:r>
      <w:r w:rsidR="00C56B0C">
        <w:rPr>
          <w:rFonts w:ascii="Arial" w:hAnsi="Arial" w:cs="Arial"/>
          <w:bCs/>
        </w:rPr>
        <w:t>Orlando</w:t>
      </w:r>
      <w:r w:rsidR="000C4A00">
        <w:rPr>
          <w:rFonts w:ascii="Arial" w:hAnsi="Arial" w:cs="Arial"/>
          <w:bCs/>
        </w:rPr>
        <w:t xml:space="preserve">, </w:t>
      </w:r>
      <w:r w:rsidR="00C56B0C">
        <w:rPr>
          <w:rFonts w:ascii="Arial" w:hAnsi="Arial" w:cs="Arial"/>
          <w:bCs/>
        </w:rPr>
        <w:t>USA</w:t>
      </w:r>
    </w:p>
    <w:p w:rsidR="005F1CB0" w:rsidRDefault="007C0944" w:rsidP="005F1CB0">
      <w:pPr>
        <w:tabs>
          <w:tab w:val="left" w:pos="3261"/>
          <w:tab w:val="left" w:pos="6804"/>
        </w:tabs>
        <w:spacing w:after="120"/>
        <w:rPr>
          <w:rFonts w:ascii="Arial" w:hAnsi="Arial" w:cs="Arial"/>
          <w:bCs/>
        </w:rPr>
      </w:pPr>
      <w:r>
        <w:rPr>
          <w:rFonts w:ascii="Arial" w:hAnsi="Arial" w:cs="Arial"/>
          <w:bCs/>
        </w:rPr>
        <w:t>TSG-SA2 Meeting#166</w:t>
      </w:r>
      <w:bookmarkStart w:id="1" w:name="S2-166-Ad_Hoc-e"/>
      <w:r>
        <w:rPr>
          <w:rFonts w:ascii="Arial" w:hAnsi="Arial" w:cs="Arial"/>
          <w:bCs/>
        </w:rPr>
        <w:t xml:space="preserve"> </w:t>
      </w:r>
      <w:bookmarkEnd w:id="1"/>
      <w:r>
        <w:rPr>
          <w:rFonts w:ascii="Arial" w:hAnsi="Arial" w:cs="Arial"/>
          <w:bCs/>
        </w:rPr>
        <w:t xml:space="preserve">Ad Hoc-e      </w:t>
      </w:r>
      <w:r w:rsidR="00C56B0C">
        <w:rPr>
          <w:rFonts w:ascii="Arial" w:hAnsi="Arial" w:cs="Arial"/>
          <w:bCs/>
        </w:rPr>
        <w:t>January 20 – 24, 2025</w:t>
      </w:r>
      <w:r w:rsidR="005F1CB0">
        <w:rPr>
          <w:rFonts w:ascii="Arial" w:hAnsi="Arial" w:cs="Arial"/>
          <w:bCs/>
        </w:rPr>
        <w:tab/>
      </w:r>
      <w:r w:rsidR="00C56B0C">
        <w:rPr>
          <w:rFonts w:ascii="Arial" w:hAnsi="Arial" w:cs="Arial"/>
          <w:bCs/>
        </w:rPr>
        <w:t>Online</w:t>
      </w:r>
    </w:p>
    <w:p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041" w:rsidRDefault="00446041">
      <w:r>
        <w:separator/>
      </w:r>
    </w:p>
  </w:endnote>
  <w:endnote w:type="continuationSeparator" w:id="0">
    <w:p w:rsidR="00446041" w:rsidRDefault="0044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041" w:rsidRDefault="00446041">
      <w:r>
        <w:separator/>
      </w:r>
    </w:p>
  </w:footnote>
  <w:footnote w:type="continuationSeparator" w:id="0">
    <w:p w:rsidR="00446041" w:rsidRDefault="00446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0F63DD"/>
    <w:rsid w:val="00101DC4"/>
    <w:rsid w:val="001113E3"/>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D7361"/>
    <w:rsid w:val="003007F7"/>
    <w:rsid w:val="00305AD7"/>
    <w:rsid w:val="00324937"/>
    <w:rsid w:val="00331362"/>
    <w:rsid w:val="003364BB"/>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3F0F60"/>
    <w:rsid w:val="00416573"/>
    <w:rsid w:val="00422338"/>
    <w:rsid w:val="004330B0"/>
    <w:rsid w:val="00442CF3"/>
    <w:rsid w:val="00446041"/>
    <w:rsid w:val="004464D9"/>
    <w:rsid w:val="0045420C"/>
    <w:rsid w:val="00463675"/>
    <w:rsid w:val="004727C2"/>
    <w:rsid w:val="00477B8F"/>
    <w:rsid w:val="00485E0B"/>
    <w:rsid w:val="0049341F"/>
    <w:rsid w:val="00494901"/>
    <w:rsid w:val="004A31B6"/>
    <w:rsid w:val="004B1D9E"/>
    <w:rsid w:val="004B622E"/>
    <w:rsid w:val="004D45BB"/>
    <w:rsid w:val="004E15BE"/>
    <w:rsid w:val="004E592D"/>
    <w:rsid w:val="004E7F6A"/>
    <w:rsid w:val="004F4A64"/>
    <w:rsid w:val="00501337"/>
    <w:rsid w:val="00505C76"/>
    <w:rsid w:val="00506DC1"/>
    <w:rsid w:val="005319E3"/>
    <w:rsid w:val="00574CB5"/>
    <w:rsid w:val="00580843"/>
    <w:rsid w:val="00584B08"/>
    <w:rsid w:val="00586194"/>
    <w:rsid w:val="005918EF"/>
    <w:rsid w:val="00595688"/>
    <w:rsid w:val="005A00EA"/>
    <w:rsid w:val="005B080D"/>
    <w:rsid w:val="005C38C8"/>
    <w:rsid w:val="005C6D10"/>
    <w:rsid w:val="005F1CB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0303"/>
    <w:rsid w:val="00741C17"/>
    <w:rsid w:val="007426F9"/>
    <w:rsid w:val="0074309D"/>
    <w:rsid w:val="00750CAD"/>
    <w:rsid w:val="00750FCB"/>
    <w:rsid w:val="00752AD3"/>
    <w:rsid w:val="0076677F"/>
    <w:rsid w:val="0076746A"/>
    <w:rsid w:val="007A040C"/>
    <w:rsid w:val="007A1FE0"/>
    <w:rsid w:val="007A28B7"/>
    <w:rsid w:val="007B36F7"/>
    <w:rsid w:val="007C0944"/>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4F72"/>
    <w:rsid w:val="009B265F"/>
    <w:rsid w:val="009B349E"/>
    <w:rsid w:val="009D4F3B"/>
    <w:rsid w:val="009E1DD5"/>
    <w:rsid w:val="009E5C6F"/>
    <w:rsid w:val="009F39C8"/>
    <w:rsid w:val="009F76A3"/>
    <w:rsid w:val="00A04B39"/>
    <w:rsid w:val="00A07FCE"/>
    <w:rsid w:val="00A33B9A"/>
    <w:rsid w:val="00A40CCC"/>
    <w:rsid w:val="00A43370"/>
    <w:rsid w:val="00A441B5"/>
    <w:rsid w:val="00A456ED"/>
    <w:rsid w:val="00A80196"/>
    <w:rsid w:val="00A830B4"/>
    <w:rsid w:val="00A96CD7"/>
    <w:rsid w:val="00A97246"/>
    <w:rsid w:val="00AA0098"/>
    <w:rsid w:val="00AA3F43"/>
    <w:rsid w:val="00AA4D69"/>
    <w:rsid w:val="00AC1017"/>
    <w:rsid w:val="00AC6962"/>
    <w:rsid w:val="00AC7A3A"/>
    <w:rsid w:val="00AE1BD2"/>
    <w:rsid w:val="00AF147C"/>
    <w:rsid w:val="00AF5D18"/>
    <w:rsid w:val="00B10016"/>
    <w:rsid w:val="00B11E2C"/>
    <w:rsid w:val="00B16A5C"/>
    <w:rsid w:val="00B16C27"/>
    <w:rsid w:val="00B20315"/>
    <w:rsid w:val="00B31FE9"/>
    <w:rsid w:val="00B35B2F"/>
    <w:rsid w:val="00B74FFF"/>
    <w:rsid w:val="00B76927"/>
    <w:rsid w:val="00B81AA1"/>
    <w:rsid w:val="00B86ADD"/>
    <w:rsid w:val="00B905E1"/>
    <w:rsid w:val="00B95CA1"/>
    <w:rsid w:val="00BA4028"/>
    <w:rsid w:val="00BB77FB"/>
    <w:rsid w:val="00BD727C"/>
    <w:rsid w:val="00BE0F14"/>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7279"/>
    <w:rsid w:val="00E14535"/>
    <w:rsid w:val="00E24364"/>
    <w:rsid w:val="00E40337"/>
    <w:rsid w:val="00E4038D"/>
    <w:rsid w:val="00E74294"/>
    <w:rsid w:val="00E87510"/>
    <w:rsid w:val="00EA146A"/>
    <w:rsid w:val="00EA38E3"/>
    <w:rsid w:val="00EB51BB"/>
    <w:rsid w:val="00EC13E9"/>
    <w:rsid w:val="00EC5BFB"/>
    <w:rsid w:val="00EC6321"/>
    <w:rsid w:val="00EE3074"/>
    <w:rsid w:val="00EE6D80"/>
    <w:rsid w:val="00EF133C"/>
    <w:rsid w:val="00F00840"/>
    <w:rsid w:val="00F1202D"/>
    <w:rsid w:val="00F24136"/>
    <w:rsid w:val="00F248C0"/>
    <w:rsid w:val="00F25264"/>
    <w:rsid w:val="00F37397"/>
    <w:rsid w:val="00F508E2"/>
    <w:rsid w:val="00F52807"/>
    <w:rsid w:val="00F62570"/>
    <w:rsid w:val="00F71E4B"/>
    <w:rsid w:val="00F77CC3"/>
    <w:rsid w:val="00FA66DB"/>
    <w:rsid w:val="00FB0D38"/>
    <w:rsid w:val="00FB2F21"/>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28E2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554</Words>
  <Characters>3159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3706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36</cp:revision>
  <cp:lastPrinted>2002-04-23T08:10:00Z</cp:lastPrinted>
  <dcterms:created xsi:type="dcterms:W3CDTF">2022-12-27T07:11:00Z</dcterms:created>
  <dcterms:modified xsi:type="dcterms:W3CDTF">2024-10-04T13:57:00Z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